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الجديد في أعمال المصارف من الوجهتين القانونية والإقتصادية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كلية الحقوق/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أعمال المصارف/ الجهة القانونية/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