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 2 pour les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base de données relationnelle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9782212120912</w:t>
            </w:r>
          </w:p>
        </w:tc>
      </w:tr>
    </w:tbl>
    <w:p>
      <w:pPr>
        <w:pStyle w:val="Heading3"/>
      </w:pPr>
      <w:r>
        <w:t>ملخص</w:t>
      </w:r>
    </w:p>
    <w:p>
      <w:r>
        <w:t>Cet ouvrage explique comment utiliser à bon escient la notation UML2 pour concevoir une base de données relationnelle de type SQL2, objet-relationnelle de type SQL3.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