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UML2 et les design patterns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Craig Larman/ </w:t>
            </w:r>
          </w:p>
        </w:tc>
      </w:tr>
      <w:tr>
        <w:trPr>
          <w:trHeight w:val="567"/>
        </w:trPr>
        <w:tc>
          <w:tcPr>
            <w:tcW w:type="dxa" w:w="3000"/>
          </w:tcPr>
          <w:p>
            <w:r>
              <w:t>الطبعة</w:t>
            </w:r>
          </w:p>
        </w:tc>
        <w:tc>
          <w:tcPr>
            <w:tcW w:type="dxa" w:w="7000"/>
          </w:tcPr>
          <w:p>
            <w:r>
              <w:t>3.éd</w:t>
            </w:r>
          </w:p>
        </w:tc>
      </w:tr>
      <w:tr>
        <w:trPr>
          <w:trHeight w:val="567"/>
        </w:trPr>
        <w:tc>
          <w:tcPr>
            <w:tcW w:type="dxa" w:w="3000"/>
          </w:tcPr>
          <w:p>
            <w:r>
              <w:t>العنوان البيبليوغرافي</w:t>
            </w:r>
          </w:p>
        </w:tc>
        <w:tc>
          <w:tcPr>
            <w:tcW w:type="dxa" w:w="7000"/>
          </w:tcPr>
          <w:p>
            <w:r>
              <w:t xml:space="preserve">Pearson/ </w:t>
            </w:r>
          </w:p>
        </w:tc>
      </w:tr>
      <w:tr>
        <w:trPr>
          <w:trHeight w:val="567"/>
        </w:trPr>
        <w:tc>
          <w:tcPr>
            <w:tcW w:type="dxa" w:w="3000"/>
          </w:tcPr>
          <w:p>
            <w:r>
              <w:t>عدد الصفحات</w:t>
            </w:r>
          </w:p>
        </w:tc>
        <w:tc>
          <w:tcPr>
            <w:tcW w:type="dxa" w:w="7000"/>
          </w:tcPr>
          <w:p>
            <w:r>
              <w:t>655p.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architecture informatique, génie logiciel, implémentation, langage de programmation, logiciel, programmation orientée objet</w:t>
            </w:r>
          </w:p>
        </w:tc>
      </w:tr>
      <w:tr>
        <w:trPr>
          <w:trHeight w:val="567"/>
        </w:trPr>
        <w:tc>
          <w:tcPr>
            <w:tcW w:type="dxa" w:w="3000"/>
          </w:tcPr>
          <w:p>
            <w:r>
              <w:t>الرقم المعياري</w:t>
            </w:r>
          </w:p>
        </w:tc>
        <w:tc>
          <w:tcPr>
            <w:tcW w:type="dxa" w:w="7000"/>
          </w:tcPr>
          <w:p>
            <w:r>
              <w:t>9782744070907</w:t>
            </w:r>
          </w:p>
        </w:tc>
      </w:tr>
    </w:tbl>
    <w:p>
      <w:pPr>
        <w:pStyle w:val="Heading3"/>
      </w:pPr>
      <w:r>
        <w:t>ملخص</w:t>
      </w:r>
    </w:p>
    <w:p>
      <w:r>
        <w:t>Ouvrage de référence qui permet d'apprivoiser la conception orientée objet. Présente les design patterns (notamment GRASF et GoF), la notation UML la plus récente et le processus unifié (UP). Passe en revue toutes les étapes du développement logiciel : les spécifications, l'analyse, la conception et le codage.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