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UML2 par la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Pascal Rosques/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angage de programmation, programmation orientée objet, modélisation numérique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9782212123227</w:t>
            </w:r>
          </w:p>
        </w:tc>
      </w:tr>
    </w:tbl>
    <w:p>
      <w:pPr>
        <w:pStyle w:val="Heading3"/>
      </w:pPr>
      <w:r>
        <w:t>ملخص</w:t>
      </w:r>
    </w:p>
    <w:p>
      <w:r>
        <w:t>Les éléments permettant de maîtriser UML 2.0 et de modéliser des applications sont expliqués selon trois axes : l'axe fonctionnel (diagramme de Use Cases), l'axe statique (diagrammes de classes et de composants) et l'axe dynamique (diagrammes d'états et de communication). Chaque choix de modélisation est minutieusement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