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Ralph H. Petrucci/ Martin Dion/ Martin Lamoureux/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922p.</w:t>
            </w:r>
          </w:p>
        </w:tc>
      </w:tr>
      <w:tr>
        <w:trPr>
          <w:trHeight w:val="567"/>
        </w:trPr>
        <w:tc>
          <w:tcPr>
            <w:tcW w:type="dxa" w:w="3000"/>
          </w:tcPr>
          <w:p>
            <w:r>
              <w:t>القياس</w:t>
            </w:r>
          </w:p>
        </w:tc>
        <w:tc>
          <w:tcPr>
            <w:tcW w:type="dxa" w:w="7000"/>
          </w:tcPr>
          <w:p>
            <w:r>
              <w:t>26*20</w:t>
            </w:r>
          </w:p>
        </w:tc>
      </w:tr>
      <w:tr>
        <w:trPr>
          <w:trHeight w:val="567"/>
        </w:trPr>
        <w:tc>
          <w:tcPr>
            <w:tcW w:type="dxa" w:w="3000"/>
          </w:tcPr>
          <w:p>
            <w:r>
              <w:t>الرقم المعياري</w:t>
            </w:r>
          </w:p>
        </w:tc>
        <w:tc>
          <w:tcPr>
            <w:tcW w:type="dxa" w:w="7000"/>
          </w:tcPr>
          <w:p>
            <w:r>
              <w:t>9782842111991</w:t>
            </w:r>
          </w:p>
        </w:tc>
      </w:tr>
    </w:tbl>
    <w:p>
      <w:pPr>
        <w:pStyle w:val="Heading3"/>
      </w:pPr>
      <w:r>
        <w:t>ملخص</w:t>
      </w:r>
    </w:p>
    <w:p>
      <w:r>
        <w:t>Ce manuel extrêmement complet se démarque par un style d'écriture accessible et une pédagogie dynamique. Tout en présentant les concepts selon une démarche scientifique rigoureuse, les auteurs profitent des nombreux champs d'application de la chimie pour en faire comprendre les principes sous-jacents. Ils posent aussi un regard critique sur les utilisations possibles de la chimie contemporaine, afin de situer le rôle de celle-ci dans la vie de tous les jours et dans différents domaines scientifiques.</w:t>
        <w:br/>
        <w:br/>
        <w:t>Le deuxième atout de l'ouvrage est incontestablement la variété des problèmes qu'il propose: ceux-ci peuvent être d'ordre qualitatif ou conceptuel, porter sur la compréhension, la résolution de problème, la déduction, la synthèse de concepts, etc. Certains sont, en outre, fondés sur une observation ou une situation de la vie courante.</w:t>
        <w:br/>
        <w:br/>
        <w:t>L'ouvrage est abondamment illustré de figures, de tableaux et de photographies qui viennent étayer les explications. Il contient des illustrations uniques, conçues expressément pour faciliter la compréhension de la théorie et la visualisation des atomes, des molécules et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