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et catalyse hétérogènes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Bernard Gilot/ Roland Guiraud/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315p.</w:t>
            </w:r>
          </w:p>
        </w:tc>
      </w:tr>
      <w:tr>
        <w:trPr>
          <w:trHeight w:val="567"/>
        </w:trPr>
        <w:tc>
          <w:tcPr>
            <w:tcW w:type="dxa" w:w="3000"/>
          </w:tcPr>
          <w:p>
            <w:r>
              <w:t>القياس</w:t>
            </w:r>
          </w:p>
        </w:tc>
        <w:tc>
          <w:tcPr>
            <w:tcW w:type="dxa" w:w="7000"/>
          </w:tcPr>
          <w:p>
            <w:r>
              <w:t>24*17</w:t>
            </w:r>
          </w:p>
        </w:tc>
      </w:tr>
      <w:tr>
        <w:trPr>
          <w:trHeight w:val="567"/>
        </w:trPr>
        <w:tc>
          <w:tcPr>
            <w:tcW w:type="dxa" w:w="3000"/>
          </w:tcPr>
          <w:p>
            <w:r>
              <w:t>السلسلة</w:t>
            </w:r>
          </w:p>
        </w:tc>
        <w:tc>
          <w:tcPr>
            <w:tcW w:type="dxa" w:w="7000"/>
          </w:tcPr>
          <w:p>
            <w:r>
              <w:t>Technosup(N°:None)</w:t>
            </w:r>
          </w:p>
        </w:tc>
      </w:tr>
      <w:tr>
        <w:trPr>
          <w:trHeight w:val="567"/>
        </w:trPr>
        <w:tc>
          <w:tcPr>
            <w:tcW w:type="dxa" w:w="3000"/>
          </w:tcPr>
          <w:p>
            <w:r>
              <w:t>الرقم المعياري</w:t>
            </w:r>
          </w:p>
        </w:tc>
        <w:tc>
          <w:tcPr>
            <w:tcW w:type="dxa" w:w="7000"/>
          </w:tcPr>
          <w:p>
            <w:r>
              <w:t>9782729818982</w:t>
            </w:r>
          </w:p>
        </w:tc>
      </w:tr>
    </w:tbl>
    <w:p>
      <w:pPr>
        <w:pStyle w:val="Heading3"/>
      </w:pPr>
      <w:r>
        <w:t>ملخص</w:t>
      </w:r>
    </w:p>
    <w:p>
      <w:r>
        <w:t>L'ouvrage (niveau C) : L'ouvrage propose un condensé théorique qu'il exploite pour montrer toutes les utilisations de la cinétique formelle.</w:t>
        <w:br/>
        <w:br/>
        <w:br/>
        <w:br/>
        <w:t>Il développe trois thèmes intimement liés :</w:t>
        <w:br/>
        <w:br/>
        <w:br/>
        <w:br/>
        <w:t xml:space="preserve">    la cinétique des transformations faisant intervenir un solide,</w:t>
        <w:br/>
        <w:br/>
        <w:t xml:space="preserve">    l'adsorption pour son rôle en catalyse et pour la connaissance de la structure des solides,</w:t>
        <w:br/>
        <w:br/>
        <w:t xml:space="preserve">    la catalyse hétérogène formelle.</w:t>
        <w:br/>
        <w:br/>
        <w:br/>
        <w:br/>
        <w:t>II aborde aussi d'autres aspects de la chimie tels que la corrosion, la dissolution des solides ou la cristallisation, en montrant, dans un souci d'unification, les liens qui les unissent et l'analogie des méthodes qui les concernent.</w:t>
        <w:br/>
        <w:br/>
        <w:br/>
        <w:br/>
        <w:t>L'étude est conduite à partir d'un niveau élémentaire de cinétique, mais sans négliger les développements récents de la discipline. Les exercices qui constituent une part importante du livre apportent un supplément de connaissances, illustrent l'analyse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