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Elie Azoulay/ Jean Avignant/ Guy Auliac/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432p.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9782100067930</w:t>
            </w:r>
          </w:p>
        </w:tc>
      </w:tr>
    </w:tbl>
    <w:p>
      <w:pPr>
        <w:pStyle w:val="Heading3"/>
      </w:pPr>
      <w:r>
        <w:t>ملخص</w:t>
      </w:r>
    </w:p>
    <w:p>
      <w:r>
        <w:t>Bien connu des étudiants comme des enseignants,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w:t>
        <w:br/>
        <w:br/>
        <w:br/>
        <w:br/>
        <w:t>La compréhension du cours est facilitée par de nombreux exemples. Afin d'aider l'étudiant à bien assimiler les notions, de nombreux exercices et problèmes résolus sont proposés à la fin de chaque chapitre. Par ailleurs,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