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الأداء المالي وأثره على عوائد أسهم الشركات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محمد محمود الخطيب/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الحامد للنشر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188ص.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الإيضاحات</w:t>
            </w:r>
          </w:p>
        </w:tc>
        <w:tc>
          <w:tcPr>
            <w:tcW w:type="dxa" w:w="7000"/>
          </w:tcPr>
          <w:p>
            <w:r>
              <w:t>جداول وبيانات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9789957324629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الأسهم/ الاردن/ الأداء المالي/ الشركات الصناعية/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