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 المتوسطة الصناعية في التنمية المحلية دراسة حالة  مديرية المؤسسات الصغيرة والمتوسطة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برقال مريم/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