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الصناعية في التنمية المحلية دراسة حالة  مديرية المؤسسات الصغيرة والمتوسطة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برقال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