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إتخاذ القرار دراسة حالة مؤسسة سونلغاز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إيمان/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