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سياسات التشغيل الحالية على التقليل من البطالة دراسة حالة  الوكالة الوطنية للتشغيل فرع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فوزية بوشلوش/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