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التشغيل الحالية على التقليل من البطالة دراسة حالة  الوكالة الوطنية للتشغيل فرع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بوشلوش/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