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المزيج التسويقي المصرفي حالة بنك الفلاحة والتنمية الريفية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بوناموس وسيلة/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