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كأداة لتقييم الوضعية المالية للمؤسسة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ربيع/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