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et analyse financiére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hervé stolowy/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964p.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9782804161927</w:t>
            </w:r>
          </w:p>
        </w:tc>
      </w:tr>
      <w:tr>
        <w:trPr>
          <w:trHeight w:val="567"/>
        </w:trPr>
        <w:tc>
          <w:tcPr>
            <w:tcW w:type="dxa" w:w="3000"/>
          </w:tcPr>
          <w:p>
            <w:r>
              <w:t>الموضوع</w:t>
            </w:r>
          </w:p>
        </w:tc>
        <w:tc>
          <w:tcPr>
            <w:tcW w:type="dxa" w:w="7000"/>
          </w:tcPr>
          <w:p>
            <w:r>
              <w:t xml:space="preserve">Analyse financière/ Comptabilité/ </w:t>
            </w:r>
          </w:p>
        </w:tc>
      </w:tr>
    </w:tbl>
    <w:p>
      <w:pPr>
        <w:pStyle w:val="Heading3"/>
      </w:pPr>
      <w:r>
        <w:t>ملخص</w:t>
      </w:r>
    </w:p>
    <w:p>
      <w:r>
        <w:t>Comptabilité et analyse financière est un ouvrage d'introduction à la comptabilité financière, comptabilité et analyse financière. Une approche internationale adopte le point de vue de l'utilisateur des documents comptables publiés par les entreprises. Plutôt que d'imposer une solution réglementaire à chacune des difficultés d'évaluation et de communication, l'ouvrage analyse la logique économique du problème et en identifie les solutions théoriquement possibles. Il explique les répercussions de chacune de ces solutions sur les entreprises et sur les décideurs. Il constitue une base universelle de connaissances pour tous les étudiants qui veulent s'intégrer dans une économie mondialisée.</w:t>
        <w:br/>
        <w:br/>
        <w:br/>
        <w:br/>
        <w:t>Que leur carrière les conduise aux responsabilités de dirigeants ou de gestionnaires de sociétés ou que leur position soit celle d'observateurs extérieurs (investisseurs, gestionnaires de portefeuille, analystes de crédit, etc.), les étudiants devront savoir se repérer dans la comptabilité et l'information financière et en interpréter les données. Ils devront exercer leurs aptitudes, non seulement sur les entreprises de leur pays, mais sur les comptes publiés par les groupes internationaux cotés sur les principales places mondiales. C'est pourquoi l'ouvrage ne se confine pas dans une approche "nationale" des questions comptables. Il offre un point de vue mondialisé, en s'appuyant prioritairement sur les normes internationales IAS/IFRS. Il ne néglige pas pour autant les principales normes nationales, tant les US GAAP que les normes ou usages français, belges et suisses ou d'autres normes nationales dans la mesure où elles apportent un éclairage intéressant et 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28/05/2026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