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 portefeuille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Robert Cobbaut/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520p.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9782804163020</w:t>
            </w:r>
          </w:p>
        </w:tc>
      </w:tr>
      <w:tr>
        <w:trPr>
          <w:trHeight w:val="567"/>
        </w:trPr>
        <w:tc>
          <w:tcPr>
            <w:tcW w:type="dxa" w:w="3000"/>
          </w:tcPr>
          <w:p>
            <w:r>
              <w:t>الموضوع</w:t>
            </w:r>
          </w:p>
        </w:tc>
        <w:tc>
          <w:tcPr>
            <w:tcW w:type="dxa" w:w="7000"/>
          </w:tcPr>
          <w:p>
            <w:r>
              <w:t xml:space="preserve">gestion de portefeuille/ </w:t>
            </w:r>
          </w:p>
        </w:tc>
      </w:tr>
    </w:tbl>
    <w:p>
      <w:pPr>
        <w:pStyle w:val="Heading3"/>
      </w:pPr>
      <w:r>
        <w:t>ملخص</w:t>
      </w:r>
    </w:p>
    <w:p>
      <w:r>
        <w:t>Cet ouvrage complet et pédagogique, aussi bien destiné aux étudiants de Licence (Bac) et Maîtrise en sciences économiques et de gestion qu'aux professionnels de la gestion de portefeuille et de l'asset management, se positionne comme une référence en matière d'analyse de la stratégie de gestion de portefeuille et de l'examen de la performance de cette gestion.</w:t>
        <w:br/>
        <w:br/>
        <w:br/>
        <w:br/>
        <w:t>Un soin particulier a été apporté dans la clarté de l'exposition des bases de la théorie moderne de portefeuille et de l'efficience des marchés, en précisant où en est l'état de l'art en la matière. Ensuite, l'ouvrage passe en revue les classes d'instruments financiers susceptibles d'intégrer un portefeuille de valeurs mobilières, à savoir les actions, les titres à revenus fixes, les produits dérivés et les actifs alternatifs, avec leurs principes de valorisation et leurs propriétés dans le cadre de la gestion d'actifs.</w:t>
        <w:br/>
        <w:br/>
        <w:br/>
        <w:br/>
        <w:t>Les stratégies de gestion de portefeuille par classes homogènes ou dans une optique d'allocation d'actifs font l'objet d'un examen minutieux. Cette analyse est complétée par une partie importante consacrée à l'évaluation de la performance de portefeuille, permettant d'établir un lien concret entre la mise en oeuvre des principes de gestion et le contrôle de leur qualité.</w:t>
        <w:br/>
        <w:br/>
        <w:br/>
        <w:br/>
        <w:t>Les innovations récentes en matière de stratégie et d'évaluation de la performance de portefeuille sont décrites avec objectivité et sans complaisance, mettant en exergue leurs avantages et faiblesses potentiels.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