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John W .Hill/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Erpi/ </w:t>
            </w:r>
          </w:p>
        </w:tc>
      </w:tr>
      <w:tr>
        <w:trPr>
          <w:trHeight w:val="567"/>
        </w:trPr>
        <w:tc>
          <w:tcPr>
            <w:tcW w:type="dxa" w:w="3000"/>
          </w:tcPr>
          <w:p>
            <w:r>
              <w:t>عدد الصفحات</w:t>
            </w:r>
          </w:p>
        </w:tc>
        <w:tc>
          <w:tcPr>
            <w:tcW w:type="dxa" w:w="7000"/>
          </w:tcPr>
          <w:p>
            <w:r>
              <w:t>517p.</w:t>
            </w:r>
          </w:p>
        </w:tc>
      </w:tr>
      <w:tr>
        <w:trPr>
          <w:trHeight w:val="567"/>
        </w:trPr>
        <w:tc>
          <w:tcPr>
            <w:tcW w:type="dxa" w:w="3000"/>
          </w:tcPr>
          <w:p>
            <w:r>
              <w:t>القياس</w:t>
            </w:r>
          </w:p>
        </w:tc>
        <w:tc>
          <w:tcPr>
            <w:tcW w:type="dxa" w:w="7000"/>
          </w:tcPr>
          <w:p>
            <w:r>
              <w:t>28*21</w:t>
            </w:r>
          </w:p>
        </w:tc>
      </w:tr>
      <w:tr>
        <w:trPr>
          <w:trHeight w:val="567"/>
        </w:trPr>
        <w:tc>
          <w:tcPr>
            <w:tcW w:type="dxa" w:w="3000"/>
          </w:tcPr>
          <w:p>
            <w:r>
              <w:t>الرقم المعياري</w:t>
            </w:r>
          </w:p>
        </w:tc>
        <w:tc>
          <w:tcPr>
            <w:tcW w:type="dxa" w:w="7000"/>
          </w:tcPr>
          <w:p>
            <w:r>
              <w:t>9782761324342</w:t>
            </w:r>
          </w:p>
        </w:tc>
      </w:tr>
    </w:tbl>
    <w:p>
      <w:pPr>
        <w:pStyle w:val="Heading3"/>
      </w:pPr>
      <w:r>
        <w:t>ملخص</w:t>
      </w:r>
    </w:p>
    <w:p>
      <w:r>
        <w:t>Ces ouvrages couvrent les deux cours de chimie du programme des sciences de la nature; ils peuvent également être utilisés dans les programmes techniques. Ils se démarquent par un style d'écriture accessible et une pédagogie extrêmement dynamique axée sur l'étudiant et le monde qui l'entoure. L'accent étant mis sur la résolution de problèmes, les exercices y sont nombreux et variés, et offrent divers degrés de difficulté. Chacun des deux livres se termine par un chapitre de synthèse traitant de l'environnement.</w:t>
        <w:br/>
        <w:br/>
        <w:t>Caractéristiques</w:t>
        <w:br/>
        <w:br/>
        <w:br/>
        <w:br/>
        <w:t xml:space="preserve">    Le regard critique posé sur les applications possibles de la chimie contemporaine aide les étudiants à situer le rôle de la chimie dans la vie de tous les jours et dans différents domaines scientifiques.</w:t>
        <w:br/>
        <w:br/>
        <w:t xml:space="preserve">    Le souci pédagogique est omniprésent et se manifeste, par exemple, par le recours aux analogies et l'insertion de notes de résolution de problèmes.</w:t>
        <w:br/>
        <w:br/>
        <w:t xml:space="preserve">    Les différents exemples sont axés sur l'acquisition d'habiletés autres que les habiletés courantes liées à l'exécution des opérations élémentaires.</w:t>
        <w:br/>
        <w:br/>
        <w:t xml:space="preserve">    La grande majorité des exemples sont suivis de deux exercices : le premier donne aux étudiants la possibilité d'appliquer la méthode décrite dans l'exemple à un problème similaire, tandis que le second s'éloigne un peu de l'exemple pour permettre la révision des notions apprises ou la préparation à l'étude des éléments à venir.</w:t>
        <w:br/>
        <w:br/>
        <w:t xml:space="preserve">    Les auteurs font appel, de manière judicieuse, à la chimie organique pour illustrer certains concepts. Parmi les sujets traités, notons : la loi de Boyle et la respiration, les effets des régimes alimentaires en cas d'hospitalisation, les graisses et les huiles hydrogénées, les bases organiques.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