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التحصيل المستندي في ترقية التجارة الخارجية دراسة حالة :بنك الفلاحة والتمية الريفية badr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فتيحة/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