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التحصيل المستندي في ترقية التجارة الخارجية دراسة حالة :بنك الفلاحة والتمية الريفية badr -وكالة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قجور فتيحة/ مزهود هشام(مشرفا)/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