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الحد من البطالة-دراسة حالة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قوميدي سهام/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