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والمتوسطة في الحد من البطالة-دراسة حالة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قوميدي سهام/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