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تحليل المالي في منح القروض الإستثمارية  دراسة حالة  بنك الفلاحة والتنمية الريفية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وج نسرين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