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تحليل المالي في منح القروض الإستثمارية  دراسة حالة  بنك الفلاحة والتنمية الريفية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روج نسرين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