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خزينة العمومية بين النظرية والتطبيق : دراسة حالة : الخزينة العموم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مل عنصر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