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من الناحية المالية في ظل الاقتصاد الوضعي و الاسلامي   دراسة حالة ميدانية في بنك القرض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مريم/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