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المشاريع الاستثمارية من الناحية المالية في ظل الاقتصاد الوضعي و الاسلامي   دراسة حالة ميدانية في بنك القرض الشعبي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وادي مريم/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