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منح الاتمان في البنوك الجزائرية : دراسة حالة ي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بد المالك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