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المؤسسات الإقتصادية باستخدام بطاقة الأداء المتوازن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غيموز عبلة/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