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ليل المالي على أداء البنوك التجارية دراسة حالة بنك الفلاحة والتنمية الريفية -سطي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خول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