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ليل المالي على أداء البنوك التجارية دراسة حالة بنك الفلاحة والتنمية الريفية -سطيف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خولة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