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Biodégradations et métabolismes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pelmont/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798p.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9782868837455</w:t>
            </w:r>
          </w:p>
        </w:tc>
      </w:tr>
      <w:tr>
        <w:trPr>
          <w:trHeight w:val="567"/>
        </w:trPr>
        <w:tc>
          <w:tcPr>
            <w:tcW w:type="dxa" w:w="3000"/>
          </w:tcPr>
          <w:p>
            <w:r>
              <w:t>الموضوع</w:t>
            </w:r>
          </w:p>
        </w:tc>
        <w:tc>
          <w:tcPr>
            <w:tcW w:type="dxa" w:w="7000"/>
          </w:tcPr>
          <w:p>
            <w:r>
              <w:t xml:space="preserve">la collecte de l'énergie/ Génomes/ adaptations/ hydrogène/ oxydations/ la circulation des métaux/ </w:t>
            </w:r>
          </w:p>
        </w:tc>
      </w:tr>
    </w:tbl>
    <w:p>
      <w:pPr>
        <w:pStyle w:val="Heading3"/>
      </w:pPr>
      <w:r>
        <w:t>ملخص</w:t>
      </w:r>
    </w:p>
    <w:p>
      <w:r>
        <w:t>Cet ouvrage démontre le râle majeur des bactéries dans la défense de l'environnement et dans le mécanisme biochimique des biodégradations de substances polluantes. Chaque lecteur pourra utiliser cet outil selon ses objectifs un important glossaire évite les retours aux bases de la biochimie, de la micro-biologie et de l'enzymologie et une abondante bibliographie facilite l'approfondissement d'un point particulier. Le texte est rédigé dans un style vivant et soutenu dans sa compréhension par 500 illustrations. Les thèmes majeurs de biodégradation sont traités : respirations, fermentations et croissance ; rôle de l'énergie lumineuse ; génomes et adaptations ; communication, partenariat ; oxydations minérales ; azote et anaérobiose ; réductases de l'azote ; hydrogène, acétate et méthane ; oxydations anaérobies diverses ; oxygénation des aromatiques ; ouverture intradiol du cycle aromatique ; ouverture extradiol, voie du gentisate ; coenzyme A et aromatiques ; aliphatiques, organohalogénés ; herbicides, pesticides et récalcitrants ; circulation des métaux. L'ouvrage s'adresse aux ingénieurs, chercheurs, universitaires, étudiants. Il suppose acquis un bon niveau de licence et la connaissance des traités généraux d'enzymologie, microbiologie et biochimie. Un niveau de maîtrise ou master facilitera la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