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Compacité ; connexité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Daniel Sondaz/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144p.</w:t>
            </w:r>
          </w:p>
        </w:tc>
      </w:tr>
      <w:tr>
        <w:trPr>
          <w:trHeight w:val="567"/>
        </w:trPr>
        <w:tc>
          <w:tcPr>
            <w:tcW w:type="dxa" w:w="3000"/>
          </w:tcPr>
          <w:p>
            <w:r>
              <w:t>القياس</w:t>
            </w:r>
          </w:p>
        </w:tc>
        <w:tc>
          <w:tcPr>
            <w:tcW w:type="dxa" w:w="7000"/>
          </w:tcPr>
          <w:p>
            <w:r>
              <w:t>20*15</w:t>
            </w:r>
          </w:p>
        </w:tc>
      </w:tr>
      <w:tr>
        <w:trPr>
          <w:trHeight w:val="567"/>
        </w:trPr>
        <w:tc>
          <w:tcPr>
            <w:tcW w:type="dxa" w:w="3000"/>
          </w:tcPr>
          <w:p>
            <w:r>
              <w:t>الرقم المعياري</w:t>
            </w:r>
          </w:p>
        </w:tc>
        <w:tc>
          <w:tcPr>
            <w:tcW w:type="dxa" w:w="7000"/>
          </w:tcPr>
          <w:p>
            <w:r>
              <w:t>9782854289763</w:t>
            </w:r>
          </w:p>
        </w:tc>
      </w:tr>
    </w:tbl>
    <w:p>
      <w:pPr>
        <w:pStyle w:val="Heading3"/>
      </w:pPr>
      <w:r>
        <w:t>ملخص</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Mathématiques.Il propose à la fois des rappels de cours et des exercices corrigés de façon particulièrement détaillée, classés par ordre de difficulté croissante. Le lecteur peut ainsi progresser à son rythme et de façon autonome dans cette discipline.Sont abordées dans ce fascicule, les notions de compacité et de connexité dans les espaces topologiques généraux, puis dans les espaces métriques et les espaces normés. Les exercices proposés permettent au lecteur de maîtriser un large spectre d'exemples. Une fois ces notions assimilées, il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