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معوقات أدوات التمويل في البنوك الإسلامية دراسة حالة بنك البركة الجزائري - وكالة قسنطينة 406 -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عمار/ دباحي نجاة/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إدارة المخاطر/ البنوك الإسلامية/ الموارد المالية/ صيغ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