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الإقراض البنكي على إنشاء وترقية المؤسسات الصغيرة والمتوسطة دراسة حالة  بنك الفلاحة والتنمية الريفية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بلقج حليمة/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القروض/ المؤسسات الصغيرة والمتوسطة/ سياسة الإقراض/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