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اثر الإقراض البنكي على إنشاء وترقية المؤسسات الصغيرة والمتوسطة دراسة حالة  بنك الفلاحة والتنمية الريفية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بلقج حليمة/ هبول محمد(مشرفا)/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القروض/ المؤسسات الصغيرة والمتوسطة/ سياسة الإقراض/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