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ربحية البنوك التجارية في ظل مخاطر نشاطها دراسة حالة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المخاطرة/ القرض الشعبي الجزائري/ الربحية/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