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علاج مشكلة السيولة في البنوك الإسلامية دراسة حالة بنك أبو ظبي الإسلامي خلال الفترة (2008-2012)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,دوفي قرمية (رئيسا) ,معارفي فريدة (عضوا 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السيولة/ البنوك الإسلامية/ الصيرفة الإسلامية/ بنك أبوظبي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