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علاج مشكلة السيولة في البنوك الإسلامية دراسة حالة بنك أبو ظبي الإسلامي خلال الفترة (2008-2012)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,دوفي قرمية (رئيسا) ,معارفي فريدة (عضوا مناقشا) ,مشري فريد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السيولة/ البنوك الإسلامية/ الصيرفة الإسلامية/ بنك أبوظبي الإسلامي/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