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الإسلامية في تفعيل الاستثمار طويل الأجل بالبنوك الإسلامية   دراسة حالة أبوظبي الإسلامي للفترة : 2003-2012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رميتة حبيبة/ ,بوطلاعة محمد(رئيسا),كنيدة زليخة(مناقشا),مشري فريد(مشرفا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الصكوك الإسلامية/ الاستثمار طويل الأجل/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