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الاستثمار طويل الأجل بالبنوك الإسلامية   دراسة حالة أبوظبي الإسلامي للفترة : 2003-2012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رميتة حبيبة/ ,بوطلاعة محمد(رئيسا),كنيدة زليخة(مناقشا),مشري فريد(مشرفا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الصكوك الإسلامية/ الاستثمار طويل الأجل/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