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الصكوك الإسلامية في تفعيل الاستثمار طويل الأجل بالبنوك الإسلامية   دراسة حالة أبوظبي الإسلامي للفترة : 2003-2012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رميتة حبيبة/ ,بوطلاعة محمد(رئيسا),كنيدة زليخة(مناقشا),مشري فريد(مشرفا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33031211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البنوك الإسلامية/ الصكوك الإسلامية/ الاستثمار طويل الأجل/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