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أثر الأزمة المالية العالمية على أرباح الشركات المتعددة الجنسيات  دراسة حالة  شركة samsung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بوعبد الله ساسية/ قطاف عقبة(رئيسا),مشري فريد(مناقشا),وبرني ميلود(مشرفا ومقررا)/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115ص.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33033411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الشركات المتعددة الجنسيات/ الأزمة المالية العالمية/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