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(الرهن العقاري) على المؤشرات الإقتصادية الرئيسية  دراسة حالة  السعودية ، مصر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بشلم أحلام/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الكساد/ الأزمة المالية/ الرهن العقاري/ القروض العقارية الرديئة/ إنخفاظ المؤشر المركب لصندوق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