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الأزمة المالية العالمية (الرهن العقاري) على المؤشرات الإقتصادية الرئيسية  دراسة حالة  السعودية ، مصر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بشلم أحلام/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الكساد/ الأزمة المالية/ الرهن العقاري/ القروض العقارية الرديئة/ إنخفاظ المؤشر المركب لصندوق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