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تداعيات الأزمة المالية العالمية (الرهن العقاري) على المؤشرات الإقتصادية الرئيسية  دراسة حالة  السعودية ، مصر والجزائر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بشلم أحلام/ معارفي فريدة(مشرفا)/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الكساد/ الأزمة المالية/ الرهن العقاري/ القروض العقارية الرديئة/ إنخفاظ المؤشر المركب لصندوق النقد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