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أسلوب المرابحة في تمويل نشاط البنوك الإسلامية دراسة حالة  بنك دبي الإسلامي للفترة 2012/2007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قروم ايمان/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بنك دبي الإسلامي/ الصيرفة الإسلامية/ عقد المرابحة/ أنواع المرابحة/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