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للبنك المركزي الإسلامي في ظل نظام لا ربوي دراسة حالة : بنك السودان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هواين عفاف/ ,مخناش سيف الاسلام(رئيسا) ,مناع فاتح(مناقشا) 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الإسلامي/ السياسة النقدية/ البنك المركزي الإسلامي/ تنظيم الجهاز المصرفي/ تنظيم عرض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