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السياسة النقدية للبنك المركزي الإسلامي في ظل نظام لا ربوي دراسة حالة : بنك السودان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هواين عفاف/ ,مخناش سيف الاسلام(رئيسا) ,مناع فاتح(مناقشا) ,معارفي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 الإسلامي/ السياسة النقدية/ البنك المركزي الإسلامي/ تنظيم الجهاز المصرفي/ تنظيم عرض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