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السياسة النقدية للبنك المركزي الإسلامي في ظل نظام لا ربوي دراسة حالة : بنك السودان المركزي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هواين عفاف/ ,مخناش سيف الاسلام(رئيسا) ,مناع فاتح(مناقشا) ,معارفي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الإسلامي/ السياسة النقدية/ البنك المركزي الإسلامي/ تنظيم الجهاز المصرفي/ تنظيم عرض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