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nn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MPAC/ pr. Mehdouni hass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MPA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25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annales/ constant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