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مراكز التمييز البحثي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دورية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وزارة التعليم العالي - المملكة العربية السعودية -/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وزارة التعليم العالي/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الإيضاحات</w:t>
            </w:r>
          </w:p>
        </w:tc>
        <w:tc>
          <w:tcPr>
            <w:tcW w:type="dxa" w:w="7000"/>
          </w:tcPr>
          <w:p>
            <w:r>
              <w:t>صور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23*22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تواتر</w:t>
            </w:r>
          </w:p>
        </w:tc>
        <w:tc>
          <w:tcPr>
            <w:tcW w:type="dxa" w:w="7000"/>
          </w:tcPr>
          <w:p>
            <w:r>
              <w:t>بدون تواتر (غير منتظمة)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01133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