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تفعيل الاستثمار الرياضي في المؤسسات الرياضية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أحمد عبده 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997156617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الاستثمار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