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Construire l'Euro-Méditerranée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Paranque/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investissement, commerce extérieur, Méditerranée, Pays de l'Union européenne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9782296051812</w:t>
            </w:r>
          </w:p>
        </w:tc>
      </w:tr>
    </w:tbl>
    <w:p>
      <w:pPr>
        <w:pStyle w:val="Heading3"/>
      </w:pPr>
      <w:r>
        <w:t>ملخص</w:t>
      </w:r>
    </w:p>
    <w:p>
      <w:r>
        <w:t>L'étude aborde la question de la définition d'une approche qualifiée d'euroméridienne. Des éléments de réponses sont à chercher dans les modes de coordination de l'action économique et dans la nécessité d'élaborer une vision commune malgré la complexité des diversités sociales.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