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des risques et institutions financières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John C. Hull/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Pearson/ </w:t>
            </w:r>
          </w:p>
        </w:tc>
      </w:tr>
      <w:tr>
        <w:trPr>
          <w:trHeight w:val="567"/>
        </w:trPr>
        <w:tc>
          <w:tcPr>
            <w:tcW w:type="dxa" w:w="3000"/>
          </w:tcPr>
          <w:p>
            <w:r>
              <w:t>عدد الصفحات</w:t>
            </w:r>
          </w:p>
        </w:tc>
        <w:tc>
          <w:tcPr>
            <w:tcW w:type="dxa" w:w="7000"/>
          </w:tcPr>
          <w:p>
            <w:r>
              <w:t>559p.</w:t>
            </w:r>
          </w:p>
        </w:tc>
      </w:tr>
      <w:tr>
        <w:trPr>
          <w:trHeight w:val="567"/>
        </w:trPr>
        <w:tc>
          <w:tcPr>
            <w:tcW w:type="dxa" w:w="3000"/>
          </w:tcPr>
          <w:p>
            <w:r>
              <w:t>القياس</w:t>
            </w:r>
          </w:p>
        </w:tc>
        <w:tc>
          <w:tcPr>
            <w:tcW w:type="dxa" w:w="7000"/>
          </w:tcPr>
          <w:p>
            <w:r>
              <w:t>23*19</w:t>
            </w:r>
          </w:p>
        </w:tc>
      </w:tr>
      <w:tr>
        <w:trPr>
          <w:trHeight w:val="567"/>
        </w:trPr>
        <w:tc>
          <w:tcPr>
            <w:tcW w:type="dxa" w:w="3000"/>
          </w:tcPr>
          <w:p>
            <w:r>
              <w:t>ملاحظات عامة</w:t>
            </w:r>
          </w:p>
        </w:tc>
        <w:tc>
          <w:tcPr>
            <w:tcW w:type="dxa" w:w="7000"/>
          </w:tcPr>
          <w:p>
            <w:r>
              <w:t>gestion du risque, banque, finance</w:t>
            </w:r>
          </w:p>
        </w:tc>
      </w:tr>
      <w:tr>
        <w:trPr>
          <w:trHeight w:val="567"/>
        </w:trPr>
        <w:tc>
          <w:tcPr>
            <w:tcW w:type="dxa" w:w="3000"/>
          </w:tcPr>
          <w:p>
            <w:r>
              <w:t>الرقم المعياري</w:t>
            </w:r>
          </w:p>
        </w:tc>
        <w:tc>
          <w:tcPr>
            <w:tcW w:type="dxa" w:w="7000"/>
          </w:tcPr>
          <w:p>
            <w:r>
              <w:t>9782744074271</w:t>
            </w:r>
          </w:p>
        </w:tc>
      </w:tr>
      <w:tr>
        <w:trPr>
          <w:trHeight w:val="567"/>
        </w:trPr>
        <w:tc>
          <w:tcPr>
            <w:tcW w:type="dxa" w:w="3000"/>
          </w:tcPr>
          <w:p>
            <w:r>
              <w:t>الموضوع</w:t>
            </w:r>
          </w:p>
        </w:tc>
        <w:tc>
          <w:tcPr>
            <w:tcW w:type="dxa" w:w="7000"/>
          </w:tcPr>
          <w:p>
            <w:r>
              <w:t xml:space="preserve">Finance/ banque/ gestion du risque/ </w:t>
            </w:r>
          </w:p>
        </w:tc>
      </w:tr>
    </w:tbl>
    <w:p>
      <w:pPr>
        <w:pStyle w:val="Heading3"/>
      </w:pPr>
      <w:r>
        <w:t>ملخص</w:t>
      </w:r>
    </w:p>
    <w:p>
      <w:r>
        <w:t>Panorama des risques financiers (risque de taux, risque de crédit, etc.) et des instruments permettant de les gérer. La gestion des risques opérationnels et de marché dans les institutions financières, le concept central de Value at Risk (VaR), la réglementation bancaire et la réforme de Bâle 2 sont abordés.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