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Mise en valeur des étangs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Bernard Bachasson/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élevage, poisson, étang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9782743013240</w:t>
            </w:r>
          </w:p>
        </w:tc>
      </w:tr>
    </w:tbl>
    <w:p>
      <w:pPr>
        <w:pStyle w:val="Heading3"/>
      </w:pPr>
      <w:r>
        <w:t>ملخص</w:t>
      </w:r>
    </w:p>
    <w:p>
      <w:r>
        <w:t>Un accès facile aux connaissances biologiques, technologiques et juridiques et un précieux guide pour mieux maîtriser la qualité des eaux, le chaulage, la fertilisation et la gestion du cheptel piscicole.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