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المركزية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السياسة النقدية/ البنوك المركزية/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