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مخاطر تطبيق صيغة المشاركة في البنوك الإسلامية دراسة حالة : بنك أبو ظبي الإسلامي خلال الفترة 2009-2013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مريخي ياسين/ ،مشري فريد(رئيسا)،زواري فرحات سليمان(مناقشا)،قطاف عقبة(مشرفا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33049311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الإئتمان/ التمويل/ الشركات/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