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السيولة والربحية في البنوك الإسلامية دراسة حالة بنك دبي الإسلامي خلال الفترة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قادري نهلة/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االأموال/ الإدارة الفعالة/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