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السيولة والربحية في البنوك الإسلامية دراسة حالة بنك دبي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نهلة/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االأموال/ الإدارة الفعالة/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