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وتشغيل الشباب في تنشيط الاستثمار المحلي خلال الفترة من 2008 إلى2013 دراسة حالة الوكالة الوطنية لدعم وتشغيل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سارة/ ،لطرش جمال(رئيسا)، لمزاودة رياض(مناقشا)، هولي رشيد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