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في البنوك الإسلامية دراسة حالة بنك أبوظبي الإسلامي للفترة 2009-2013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ليلى/ ،دوفي قرمية(رئيسا)، صديقي سعاد(مناقشا)، بوفنش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