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تثمار في البنوك الإسلامية دراسة حالة بنك أبوظبي الإسلامي للفترة 2009-201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سكر ليلى/ ،دوفي قرمية(رئيسا)، صديقي سعاد(مناقشا)، بوفنش وسيل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وض/ الامو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