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الإستراتيجية المالية للمؤسسة الإقتصادية  دراسة حالة: مؤسسة سوناريك وحدة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بوفكر أحلام/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