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كأداة لقياس مردودية البنك  دراسة حالة: بنك الفلاحة والتنمية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جمال/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النظام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