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كأداة لقياس مردودية البنك  دراسة حالة: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جمال/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