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في استمرارية الميزة التنافسية للبنوك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 ابتسام/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سلوك المستهلك/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