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أداء المؤسسة الاقتصادية دراسة حالة المؤسسة الوطنية لتحقيق وتسيير الصناعات المترابطة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لامية/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الجودة/ البيئة/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